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BA" w:rsidRPr="00D152BA" w:rsidRDefault="00D152BA" w:rsidP="00D152BA">
      <w:pPr>
        <w:jc w:val="center"/>
        <w:rPr>
          <w:rFonts w:ascii="Times New Roman" w:hAnsi="Times New Roman" w:cs="Times New Roman"/>
          <w:b/>
          <w:sz w:val="36"/>
        </w:rPr>
      </w:pPr>
      <w:r w:rsidRPr="00D152BA">
        <w:rPr>
          <w:rFonts w:ascii="Times New Roman" w:hAnsi="Times New Roman" w:cs="Times New Roman"/>
          <w:b/>
          <w:sz w:val="40"/>
        </w:rPr>
        <w:t>Уважаемые налогоплательщики!</w:t>
      </w:r>
    </w:p>
    <w:p w:rsidR="00D152BA" w:rsidRPr="00D152BA" w:rsidRDefault="00D152BA" w:rsidP="00D152BA">
      <w:pPr>
        <w:jc w:val="center"/>
        <w:rPr>
          <w:rFonts w:ascii="Times New Roman" w:hAnsi="Times New Roman" w:cs="Times New Roman"/>
          <w:b/>
          <w:sz w:val="34"/>
        </w:rPr>
      </w:pPr>
    </w:p>
    <w:p w:rsidR="00D152BA" w:rsidRPr="00D152BA" w:rsidRDefault="00D152BA" w:rsidP="00D152BA">
      <w:pPr>
        <w:spacing w:line="264" w:lineRule="auto"/>
        <w:ind w:firstLine="709"/>
        <w:jc w:val="both"/>
        <w:rPr>
          <w:rFonts w:ascii="Times New Roman" w:hAnsi="Times New Roman" w:cs="Times New Roman"/>
          <w:sz w:val="26"/>
          <w:szCs w:val="26"/>
        </w:rPr>
      </w:pPr>
      <w:r w:rsidRPr="00D152BA">
        <w:rPr>
          <w:rFonts w:ascii="Times New Roman" w:hAnsi="Times New Roman" w:cs="Times New Roman"/>
          <w:sz w:val="26"/>
          <w:szCs w:val="26"/>
        </w:rPr>
        <w:t xml:space="preserve">Межрайонная ИФНС России № 7 по Красноярскому краю сообщает о прекращении с 01.01.2021 года работы территориально – обособленных рабочих мест (ТОРМ) </w:t>
      </w:r>
      <w:proofErr w:type="gramStart"/>
      <w:r w:rsidRPr="00D152BA">
        <w:rPr>
          <w:rFonts w:ascii="Times New Roman" w:hAnsi="Times New Roman" w:cs="Times New Roman"/>
          <w:sz w:val="26"/>
          <w:szCs w:val="26"/>
        </w:rPr>
        <w:t xml:space="preserve">в </w:t>
      </w:r>
      <w:r>
        <w:rPr>
          <w:rFonts w:ascii="Times New Roman" w:hAnsi="Times New Roman" w:cs="Times New Roman"/>
          <w:sz w:val="26"/>
          <w:szCs w:val="26"/>
        </w:rPr>
        <w:t xml:space="preserve"> </w:t>
      </w:r>
      <w:r w:rsidRPr="00D152BA">
        <w:rPr>
          <w:rFonts w:ascii="Times New Roman" w:hAnsi="Times New Roman" w:cs="Times New Roman"/>
          <w:sz w:val="26"/>
          <w:szCs w:val="26"/>
        </w:rPr>
        <w:t>г.</w:t>
      </w:r>
      <w:proofErr w:type="gramEnd"/>
      <w:r w:rsidRPr="00D152BA">
        <w:rPr>
          <w:rFonts w:ascii="Times New Roman" w:hAnsi="Times New Roman" w:cs="Times New Roman"/>
          <w:sz w:val="26"/>
          <w:szCs w:val="26"/>
        </w:rPr>
        <w:t xml:space="preserve"> Бородино, г. Уяр, с. Агинское, с. </w:t>
      </w:r>
      <w:proofErr w:type="spellStart"/>
      <w:r w:rsidRPr="00D152BA">
        <w:rPr>
          <w:rFonts w:ascii="Times New Roman" w:hAnsi="Times New Roman" w:cs="Times New Roman"/>
          <w:sz w:val="26"/>
          <w:szCs w:val="26"/>
        </w:rPr>
        <w:t>Ирбейское</w:t>
      </w:r>
      <w:proofErr w:type="spellEnd"/>
      <w:r w:rsidRPr="00D152BA">
        <w:rPr>
          <w:rFonts w:ascii="Times New Roman" w:hAnsi="Times New Roman" w:cs="Times New Roman"/>
          <w:sz w:val="26"/>
          <w:szCs w:val="26"/>
        </w:rPr>
        <w:t xml:space="preserve">, с. Партизанское. Одновременно сообщаем, что услуги, оказываемые в </w:t>
      </w:r>
      <w:proofErr w:type="spellStart"/>
      <w:r w:rsidRPr="00D152BA">
        <w:rPr>
          <w:rFonts w:ascii="Times New Roman" w:hAnsi="Times New Roman" w:cs="Times New Roman"/>
          <w:sz w:val="26"/>
          <w:szCs w:val="26"/>
        </w:rPr>
        <w:t>ТОРМах</w:t>
      </w:r>
      <w:proofErr w:type="spellEnd"/>
      <w:r w:rsidRPr="00D152BA">
        <w:rPr>
          <w:rFonts w:ascii="Times New Roman" w:hAnsi="Times New Roman" w:cs="Times New Roman"/>
          <w:sz w:val="26"/>
          <w:szCs w:val="26"/>
        </w:rPr>
        <w:t xml:space="preserve">, можно получить в подразделении Краевого государственного бюджетного учреждения «Многофункциональный центр предоставления государственных и муниципальных услуг» (КГБУ «МФЦ») или в центральном офисе Инспекции по адресу: Рыбинский район, г. Заозерный, ул. Фабричная, 6 или в </w:t>
      </w:r>
      <w:proofErr w:type="spellStart"/>
      <w:r w:rsidRPr="00D152BA">
        <w:rPr>
          <w:rFonts w:ascii="Times New Roman" w:hAnsi="Times New Roman" w:cs="Times New Roman"/>
          <w:sz w:val="26"/>
          <w:szCs w:val="26"/>
        </w:rPr>
        <w:t>ТОРМе</w:t>
      </w:r>
      <w:proofErr w:type="spellEnd"/>
      <w:r w:rsidRPr="00D152BA">
        <w:rPr>
          <w:rFonts w:ascii="Times New Roman" w:hAnsi="Times New Roman" w:cs="Times New Roman"/>
          <w:sz w:val="26"/>
          <w:szCs w:val="26"/>
        </w:rPr>
        <w:t xml:space="preserve"> </w:t>
      </w:r>
      <w:proofErr w:type="spellStart"/>
      <w:r w:rsidRPr="00D152BA">
        <w:rPr>
          <w:rFonts w:ascii="Times New Roman" w:hAnsi="Times New Roman" w:cs="Times New Roman"/>
          <w:sz w:val="26"/>
          <w:szCs w:val="26"/>
        </w:rPr>
        <w:t>г.Зеленогорска</w:t>
      </w:r>
      <w:proofErr w:type="spellEnd"/>
      <w:r w:rsidRPr="00D152BA">
        <w:rPr>
          <w:rFonts w:ascii="Times New Roman" w:hAnsi="Times New Roman" w:cs="Times New Roman"/>
          <w:sz w:val="26"/>
          <w:szCs w:val="26"/>
        </w:rPr>
        <w:t xml:space="preserve">, по адресу: </w:t>
      </w:r>
      <w:proofErr w:type="spellStart"/>
      <w:r w:rsidRPr="00D152BA">
        <w:rPr>
          <w:rFonts w:ascii="Times New Roman" w:hAnsi="Times New Roman" w:cs="Times New Roman"/>
          <w:sz w:val="26"/>
          <w:szCs w:val="26"/>
        </w:rPr>
        <w:t>г.Зеленогорск</w:t>
      </w:r>
      <w:proofErr w:type="spellEnd"/>
      <w:r w:rsidRPr="00D152BA">
        <w:rPr>
          <w:rFonts w:ascii="Times New Roman" w:hAnsi="Times New Roman" w:cs="Times New Roman"/>
          <w:sz w:val="26"/>
          <w:szCs w:val="26"/>
        </w:rPr>
        <w:t>, ул. Калинина, 27.</w:t>
      </w:r>
    </w:p>
    <w:p w:rsidR="00D152BA" w:rsidRPr="00D152BA" w:rsidRDefault="00D152BA" w:rsidP="00D152BA">
      <w:pPr>
        <w:spacing w:line="264" w:lineRule="auto"/>
        <w:ind w:firstLine="709"/>
        <w:jc w:val="both"/>
        <w:rPr>
          <w:rFonts w:ascii="Times New Roman" w:hAnsi="Times New Roman" w:cs="Times New Roman"/>
          <w:sz w:val="26"/>
          <w:szCs w:val="26"/>
        </w:rPr>
      </w:pPr>
      <w:r w:rsidRPr="00D152BA">
        <w:rPr>
          <w:rFonts w:ascii="Times New Roman" w:hAnsi="Times New Roman" w:cs="Times New Roman"/>
          <w:sz w:val="26"/>
          <w:szCs w:val="26"/>
        </w:rPr>
        <w:t xml:space="preserve">Кроме того, предлагаем воспользоваться электронными сервисами, интернет-сайта </w:t>
      </w:r>
      <w:r>
        <w:rPr>
          <w:rFonts w:ascii="Times New Roman" w:hAnsi="Times New Roman" w:cs="Times New Roman"/>
          <w:sz w:val="26"/>
          <w:szCs w:val="26"/>
        </w:rPr>
        <w:t>ФНС России (</w:t>
      </w:r>
      <w:r w:rsidRPr="00D152BA">
        <w:rPr>
          <w:rFonts w:ascii="Times New Roman" w:hAnsi="Times New Roman" w:cs="Times New Roman"/>
          <w:sz w:val="26"/>
          <w:szCs w:val="26"/>
        </w:rPr>
        <w:t>www.nalog.ru</w:t>
      </w:r>
      <w:r>
        <w:rPr>
          <w:rFonts w:ascii="Times New Roman" w:hAnsi="Times New Roman" w:cs="Times New Roman"/>
          <w:sz w:val="26"/>
          <w:szCs w:val="26"/>
        </w:rPr>
        <w:t>)</w:t>
      </w:r>
      <w:r w:rsidRPr="00D152BA">
        <w:rPr>
          <w:rFonts w:ascii="Times New Roman" w:hAnsi="Times New Roman" w:cs="Times New Roman"/>
          <w:sz w:val="26"/>
          <w:szCs w:val="26"/>
        </w:rPr>
        <w:t xml:space="preserve">. Подробные пояснения о порядке работы с электронными сервисами представлены в разделе «Справка» у каждого отдельного сервиса. </w:t>
      </w:r>
    </w:p>
    <w:p w:rsidR="00D152BA" w:rsidRPr="00D152BA" w:rsidRDefault="00A7167E" w:rsidP="00D152BA">
      <w:pPr>
        <w:spacing w:line="264" w:lineRule="auto"/>
        <w:ind w:firstLine="709"/>
        <w:jc w:val="both"/>
        <w:rPr>
          <w:rFonts w:ascii="Times New Roman" w:hAnsi="Times New Roman" w:cs="Times New Roman"/>
          <w:sz w:val="26"/>
          <w:szCs w:val="26"/>
        </w:rPr>
      </w:pPr>
      <w:r>
        <w:rPr>
          <w:rFonts w:ascii="Times New Roman" w:hAnsi="Times New Roman" w:cs="Times New Roman"/>
          <w:sz w:val="26"/>
          <w:szCs w:val="26"/>
        </w:rPr>
        <w:t>Д</w:t>
      </w:r>
      <w:bookmarkStart w:id="0" w:name="_GoBack"/>
      <w:bookmarkEnd w:id="0"/>
      <w:r w:rsidR="00D152BA" w:rsidRPr="00D152BA">
        <w:rPr>
          <w:rFonts w:ascii="Times New Roman" w:hAnsi="Times New Roman" w:cs="Times New Roman"/>
          <w:sz w:val="26"/>
          <w:szCs w:val="26"/>
        </w:rPr>
        <w:t xml:space="preserve">ля получения информации в телефонном режиме, для налогоплательщиков работает бесплатный телефонный номер Единого Контакт-центра – </w:t>
      </w:r>
      <w:r w:rsidR="00D152BA" w:rsidRPr="00D152BA">
        <w:rPr>
          <w:rFonts w:ascii="Times New Roman" w:hAnsi="Times New Roman" w:cs="Times New Roman"/>
          <w:b/>
          <w:sz w:val="26"/>
          <w:szCs w:val="26"/>
        </w:rPr>
        <w:t>8-800-222-22-22</w:t>
      </w:r>
      <w:r w:rsidR="00D152BA" w:rsidRPr="00D152BA">
        <w:rPr>
          <w:rFonts w:ascii="Times New Roman" w:hAnsi="Times New Roman" w:cs="Times New Roman"/>
          <w:sz w:val="26"/>
          <w:szCs w:val="26"/>
        </w:rPr>
        <w:t>.</w:t>
      </w:r>
    </w:p>
    <w:p w:rsidR="00D152BA" w:rsidRPr="00D152BA" w:rsidRDefault="00D152BA" w:rsidP="00D152BA">
      <w:pPr>
        <w:spacing w:line="264" w:lineRule="auto"/>
        <w:ind w:firstLine="709"/>
        <w:jc w:val="both"/>
        <w:rPr>
          <w:rFonts w:ascii="Times New Roman" w:hAnsi="Times New Roman" w:cs="Times New Roman"/>
          <w:b/>
          <w:bCs/>
          <w:color w:val="000000" w:themeColor="text1"/>
          <w:sz w:val="26"/>
          <w:szCs w:val="26"/>
          <w:u w:val="single"/>
        </w:rPr>
      </w:pPr>
      <w:r w:rsidRPr="00D152BA">
        <w:rPr>
          <w:rFonts w:ascii="Times New Roman" w:hAnsi="Times New Roman" w:cs="Times New Roman"/>
          <w:sz w:val="26"/>
          <w:szCs w:val="26"/>
        </w:rPr>
        <w:t>Обратившись по этому телефону, налогоплательщики могут получить информацию по вопросам, связанным с налогообложением, в том числе о сроках уплаты имущественных налогов, процедурах государственной регистрации, порядке получения имущественных и социальных вычетов, о возможностях электронных сервисов ФНС России, графике работы инспекций.</w:t>
      </w:r>
    </w:p>
    <w:p w:rsidR="00D152BA" w:rsidRPr="00EC1284" w:rsidRDefault="00D152BA" w:rsidP="00D152BA">
      <w:pPr>
        <w:pStyle w:val="Style1"/>
        <w:widowControl/>
        <w:spacing w:line="240" w:lineRule="auto"/>
        <w:rPr>
          <w:rStyle w:val="FontStyle70"/>
          <w:sz w:val="28"/>
          <w:szCs w:val="28"/>
        </w:rPr>
      </w:pPr>
      <w:r w:rsidRPr="00EC1284">
        <w:rPr>
          <w:rStyle w:val="FontStyle70"/>
          <w:sz w:val="28"/>
          <w:szCs w:val="28"/>
        </w:rPr>
        <w:t>Перечень государственных услуг</w:t>
      </w:r>
      <w:r>
        <w:rPr>
          <w:rStyle w:val="FontStyle70"/>
          <w:sz w:val="28"/>
          <w:szCs w:val="28"/>
        </w:rPr>
        <w:t xml:space="preserve"> ФНС России</w:t>
      </w:r>
      <w:r w:rsidRPr="00EC1284">
        <w:rPr>
          <w:rStyle w:val="FontStyle70"/>
          <w:sz w:val="28"/>
          <w:szCs w:val="28"/>
        </w:rPr>
        <w:t>,</w:t>
      </w:r>
    </w:p>
    <w:p w:rsidR="00D152BA" w:rsidRPr="00EC1284" w:rsidRDefault="00D152BA" w:rsidP="00D152BA">
      <w:pPr>
        <w:pStyle w:val="Style1"/>
        <w:widowControl/>
        <w:spacing w:line="240" w:lineRule="auto"/>
        <w:rPr>
          <w:rStyle w:val="FontStyle70"/>
          <w:sz w:val="28"/>
          <w:szCs w:val="28"/>
        </w:rPr>
      </w:pPr>
      <w:r w:rsidRPr="00EC1284">
        <w:rPr>
          <w:rStyle w:val="FontStyle70"/>
          <w:sz w:val="28"/>
          <w:szCs w:val="28"/>
        </w:rPr>
        <w:t>предоставление которых организовано в КГБУ «МФЦ»</w:t>
      </w:r>
    </w:p>
    <w:p w:rsidR="00D152BA" w:rsidRPr="000B4914" w:rsidRDefault="00D152BA" w:rsidP="00D152BA">
      <w:pPr>
        <w:jc w:val="center"/>
        <w:rPr>
          <w:b/>
          <w:sz w:val="16"/>
          <w:szCs w:val="16"/>
        </w:rPr>
      </w:pPr>
    </w:p>
    <w:tbl>
      <w:tblPr>
        <w:tblW w:w="0" w:type="auto"/>
        <w:tblInd w:w="40" w:type="dxa"/>
        <w:tblLayout w:type="fixed"/>
        <w:tblCellMar>
          <w:left w:w="40" w:type="dxa"/>
          <w:right w:w="40" w:type="dxa"/>
        </w:tblCellMar>
        <w:tblLook w:val="04A0" w:firstRow="1" w:lastRow="0" w:firstColumn="1" w:lastColumn="0" w:noHBand="0" w:noVBand="1"/>
      </w:tblPr>
      <w:tblGrid>
        <w:gridCol w:w="661"/>
        <w:gridCol w:w="9356"/>
      </w:tblGrid>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rPr>
                <w:rStyle w:val="FontStyle72"/>
              </w:rPr>
            </w:pPr>
            <w:r>
              <w:rPr>
                <w:rStyle w:val="FontStyle72"/>
              </w:rPr>
              <w:t>№ п/п</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ind w:left="2112"/>
              <w:jc w:val="left"/>
              <w:rPr>
                <w:rStyle w:val="FontStyle72"/>
              </w:rPr>
            </w:pPr>
            <w:r>
              <w:rPr>
                <w:rStyle w:val="FontStyle72"/>
              </w:rPr>
              <w:t>Наименование государственной услуги</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1</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ind w:left="14" w:hanging="14"/>
              <w:rPr>
                <w:rStyle w:val="FontStyle72"/>
              </w:rPr>
            </w:pPr>
            <w:r>
              <w:rPr>
                <w:rStyle w:val="FontStyle7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2</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ind w:left="14" w:hanging="14"/>
              <w:rPr>
                <w:rStyle w:val="FontStyle72"/>
              </w:rPr>
            </w:pPr>
            <w:r>
              <w:rPr>
                <w:rStyle w:val="FontStyle7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3</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3" w:lineRule="exact"/>
              <w:ind w:left="10" w:hanging="10"/>
              <w:rPr>
                <w:rStyle w:val="FontStyle72"/>
              </w:rPr>
            </w:pPr>
            <w:r>
              <w:rPr>
                <w:rStyle w:val="FontStyle72"/>
              </w:rPr>
              <w:t>Предоставление заинтересованным лицам сведений, содержащихся в реестре дисквалифицированных лиц</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4</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ind w:left="10" w:hanging="10"/>
              <w:rPr>
                <w:rStyle w:val="FontStyle72"/>
              </w:rPr>
            </w:pPr>
            <w:r>
              <w:rPr>
                <w:rStyle w:val="FontStyle72"/>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5</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rPr>
                <w:rStyle w:val="FontStyle72"/>
              </w:rPr>
            </w:pPr>
            <w:r>
              <w:rPr>
                <w:rStyle w:val="FontStyle7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6</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rPr>
                <w:rStyle w:val="FontStyle72"/>
              </w:rPr>
            </w:pPr>
            <w:r>
              <w:rPr>
                <w:rStyle w:val="FontStyle72"/>
              </w:rPr>
              <w:t>Прием запроса о предоставлении справки о состоянии расчетов по налогам, сборам, пеням, штрафам, процентам</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lastRenderedPageBreak/>
              <w:t>7</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rPr>
                <w:rStyle w:val="FontStyle72"/>
              </w:rPr>
            </w:pPr>
            <w:r>
              <w:rPr>
                <w:rStyle w:val="FontStyle72"/>
              </w:rPr>
              <w:t>Прием   запроса   о   предоставлении   акта   совместной   сверки   расчетов по налогам, сборам, пеням, штрафам, процентам</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8</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ind w:firstLine="5"/>
              <w:rPr>
                <w:rStyle w:val="FontStyle72"/>
              </w:rPr>
            </w:pPr>
            <w:proofErr w:type="gramStart"/>
            <w:r>
              <w:rPr>
                <w:rStyle w:val="FontStyle72"/>
              </w:rPr>
              <w:t>Прием  заявления</w:t>
            </w:r>
            <w:proofErr w:type="gramEnd"/>
            <w:r>
              <w:rPr>
                <w:rStyle w:val="FontStyle72"/>
              </w:rPr>
              <w:t xml:space="preserve">  о  доступе  к  личному  кабинету  налогоплательщика для физических лиц</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9</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ind w:firstLine="5"/>
              <w:rPr>
                <w:rStyle w:val="FontStyle72"/>
              </w:rPr>
            </w:pPr>
            <w:r>
              <w:rPr>
                <w:rStyle w:val="FontStyle72"/>
              </w:rPr>
              <w:t>Прием уведомления о выбранном земельном участке, в отношении которого применяется налоговый вычет по земельному налогу</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10</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ind w:firstLine="5"/>
              <w:rPr>
                <w:rStyle w:val="FontStyle72"/>
              </w:rPr>
            </w:pPr>
            <w:r>
              <w:rPr>
                <w:rStyle w:val="FontStyle7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D152BA" w:rsidTr="00E46F31">
        <w:tc>
          <w:tcPr>
            <w:tcW w:w="661"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5"/>
              <w:widowControl/>
              <w:spacing w:line="240" w:lineRule="auto"/>
              <w:rPr>
                <w:rStyle w:val="FontStyle72"/>
              </w:rPr>
            </w:pPr>
            <w:r>
              <w:rPr>
                <w:rStyle w:val="FontStyle72"/>
              </w:rPr>
              <w:t>11</w:t>
            </w:r>
          </w:p>
        </w:tc>
        <w:tc>
          <w:tcPr>
            <w:tcW w:w="9356" w:type="dxa"/>
            <w:tcBorders>
              <w:top w:val="single" w:sz="6" w:space="0" w:color="auto"/>
              <w:left w:val="single" w:sz="6" w:space="0" w:color="auto"/>
              <w:bottom w:val="single" w:sz="6" w:space="0" w:color="auto"/>
              <w:right w:val="single" w:sz="6" w:space="0" w:color="auto"/>
            </w:tcBorders>
            <w:hideMark/>
          </w:tcPr>
          <w:p w:rsidR="00D152BA" w:rsidRDefault="00D152BA" w:rsidP="00E46F31">
            <w:pPr>
              <w:pStyle w:val="Style17"/>
              <w:widowControl/>
              <w:spacing w:line="298" w:lineRule="exact"/>
              <w:ind w:firstLine="5"/>
              <w:rPr>
                <w:rStyle w:val="FontStyle72"/>
              </w:rPr>
            </w:pPr>
            <w:r>
              <w:rPr>
                <w:rStyle w:val="FontStyle72"/>
              </w:rPr>
              <w:t xml:space="preserve">Прием уведомления о выбранных объектах налогообложения, в отношении </w:t>
            </w:r>
            <w:proofErr w:type="gramStart"/>
            <w:r>
              <w:rPr>
                <w:rStyle w:val="FontStyle72"/>
              </w:rPr>
              <w:t>которых  предоставляется</w:t>
            </w:r>
            <w:proofErr w:type="gramEnd"/>
            <w:r>
              <w:rPr>
                <w:rStyle w:val="FontStyle72"/>
              </w:rPr>
              <w:t xml:space="preserve">  налоговая  льгота  по  налогу  на  имущество физических лиц</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12</w:t>
            </w:r>
          </w:p>
        </w:tc>
        <w:tc>
          <w:tcPr>
            <w:tcW w:w="9356"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95" w:lineRule="exact"/>
              <w:ind w:left="7" w:hanging="7"/>
              <w:jc w:val="both"/>
              <w:rPr>
                <w:rStyle w:val="FontStyle72"/>
              </w:rPr>
            </w:pPr>
            <w:r>
              <w:rPr>
                <w:rStyle w:val="FontStyle72"/>
              </w:rPr>
              <w:t>Приём заявления физического лица (его законного или уполномоченного представителя) о получении его налогового уведомления лично под расписку через МФЦ</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13</w:t>
            </w:r>
          </w:p>
        </w:tc>
        <w:tc>
          <w:tcPr>
            <w:tcW w:w="9356"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95" w:lineRule="exact"/>
              <w:ind w:left="7" w:hanging="7"/>
              <w:jc w:val="both"/>
              <w:rPr>
                <w:rStyle w:val="FontStyle72"/>
              </w:rPr>
            </w:pPr>
            <w:r>
              <w:rPr>
                <w:rStyle w:val="FontStyle72"/>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14</w:t>
            </w:r>
          </w:p>
        </w:tc>
        <w:tc>
          <w:tcPr>
            <w:tcW w:w="9356"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95" w:lineRule="exact"/>
              <w:ind w:left="7" w:hanging="7"/>
              <w:jc w:val="both"/>
              <w:rPr>
                <w:rStyle w:val="FontStyle72"/>
              </w:rPr>
            </w:pPr>
            <w:r>
              <w:rPr>
                <w:rStyle w:val="FontStyle72"/>
              </w:rPr>
              <w:t>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15</w:t>
            </w:r>
          </w:p>
        </w:tc>
        <w:tc>
          <w:tcPr>
            <w:tcW w:w="9356"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95" w:lineRule="exact"/>
              <w:ind w:left="7" w:hanging="7"/>
              <w:jc w:val="both"/>
              <w:rPr>
                <w:rStyle w:val="FontStyle72"/>
              </w:rPr>
            </w:pPr>
            <w:r>
              <w:rPr>
                <w:rStyle w:val="FontStyle7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16</w:t>
            </w:r>
          </w:p>
        </w:tc>
        <w:tc>
          <w:tcPr>
            <w:tcW w:w="9356"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95" w:lineRule="exact"/>
              <w:ind w:left="7" w:hanging="7"/>
              <w:jc w:val="both"/>
              <w:rPr>
                <w:rStyle w:val="FontStyle72"/>
              </w:rPr>
            </w:pPr>
            <w:r>
              <w:rPr>
                <w:rFonts w:eastAsia="Times New Roman"/>
              </w:rPr>
              <w:t>П</w:t>
            </w:r>
            <w:r w:rsidRPr="00623907">
              <w:rPr>
                <w:rFonts w:eastAsia="Times New Roman"/>
              </w:rPr>
              <w:t>редоставление сведений, содержащихся в Едином государственном реестре юридических лиц (в части предоставления по запросам физических и юридических лиц копии документа (документов), содержащегося в ЕГРЮЛ, за исключением случаев срочного предоставления)</w:t>
            </w:r>
          </w:p>
        </w:tc>
      </w:tr>
      <w:tr w:rsidR="00D152BA" w:rsidTr="00E46F31">
        <w:tc>
          <w:tcPr>
            <w:tcW w:w="661" w:type="dxa"/>
            <w:tcBorders>
              <w:top w:val="single" w:sz="6" w:space="0" w:color="auto"/>
              <w:left w:val="single" w:sz="6" w:space="0" w:color="auto"/>
              <w:bottom w:val="single" w:sz="6" w:space="0" w:color="auto"/>
              <w:right w:val="single" w:sz="6" w:space="0" w:color="auto"/>
            </w:tcBorders>
          </w:tcPr>
          <w:p w:rsidR="00D152BA" w:rsidRDefault="00D152BA" w:rsidP="00E46F31">
            <w:pPr>
              <w:pStyle w:val="Style17"/>
              <w:widowControl/>
              <w:spacing w:line="240" w:lineRule="auto"/>
              <w:rPr>
                <w:rStyle w:val="FontStyle72"/>
              </w:rPr>
            </w:pPr>
            <w:r>
              <w:rPr>
                <w:rStyle w:val="FontStyle72"/>
              </w:rPr>
              <w:t>17</w:t>
            </w:r>
          </w:p>
        </w:tc>
        <w:tc>
          <w:tcPr>
            <w:tcW w:w="9356" w:type="dxa"/>
            <w:tcBorders>
              <w:top w:val="single" w:sz="6" w:space="0" w:color="auto"/>
              <w:left w:val="single" w:sz="6" w:space="0" w:color="auto"/>
              <w:bottom w:val="single" w:sz="6" w:space="0" w:color="auto"/>
              <w:right w:val="single" w:sz="6" w:space="0" w:color="auto"/>
            </w:tcBorders>
          </w:tcPr>
          <w:p w:rsidR="00D152BA" w:rsidRPr="00623907" w:rsidRDefault="00D152BA" w:rsidP="00E46F31">
            <w:pPr>
              <w:pStyle w:val="Style17"/>
              <w:widowControl/>
              <w:spacing w:line="295" w:lineRule="exact"/>
              <w:ind w:left="7" w:hanging="7"/>
              <w:jc w:val="both"/>
              <w:rPr>
                <w:rFonts w:eastAsia="Times New Roman"/>
              </w:rPr>
            </w:pPr>
            <w:r>
              <w:rPr>
                <w:rFonts w:eastAsia="Times New Roman"/>
              </w:rPr>
              <w:t>П</w:t>
            </w:r>
            <w:r w:rsidRPr="00623907">
              <w:rPr>
                <w:rFonts w:eastAsia="Times New Roman"/>
              </w:rPr>
              <w:t>рием заявления о гибели или уничтожении объекта налогообложения по налогу на имущество физических лиц</w:t>
            </w:r>
          </w:p>
        </w:tc>
      </w:tr>
    </w:tbl>
    <w:p w:rsidR="00D152BA" w:rsidRPr="00881534" w:rsidRDefault="00D152BA" w:rsidP="00CF7509">
      <w:pPr>
        <w:ind w:firstLine="720"/>
        <w:jc w:val="both"/>
        <w:rPr>
          <w:rFonts w:ascii="Times New Roman" w:hAnsi="Times New Roman" w:cs="Times New Roman"/>
          <w:sz w:val="24"/>
          <w:szCs w:val="24"/>
        </w:rPr>
      </w:pPr>
    </w:p>
    <w:p w:rsidR="00090983" w:rsidRPr="00D07D7E" w:rsidRDefault="00090983" w:rsidP="00D07D7E">
      <w:pPr>
        <w:autoSpaceDE/>
        <w:autoSpaceDN/>
        <w:ind w:firstLine="720"/>
        <w:jc w:val="center"/>
        <w:rPr>
          <w:rFonts w:ascii="Times New Roman" w:hAnsi="Times New Roman" w:cs="Times New Roman"/>
          <w:b/>
          <w:sz w:val="28"/>
          <w:szCs w:val="28"/>
        </w:rPr>
      </w:pPr>
    </w:p>
    <w:p w:rsidR="00732002" w:rsidRDefault="00732002" w:rsidP="00090983"/>
    <w:p w:rsidR="00090983" w:rsidRPr="00090983" w:rsidRDefault="00090983" w:rsidP="00090983"/>
    <w:sectPr w:rsidR="00090983" w:rsidRPr="00090983" w:rsidSect="00F44093">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21E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654E6"/>
    <w:rsid w:val="00683B86"/>
    <w:rsid w:val="00685C79"/>
    <w:rsid w:val="0069172D"/>
    <w:rsid w:val="00691E67"/>
    <w:rsid w:val="006965E4"/>
    <w:rsid w:val="00697C8D"/>
    <w:rsid w:val="006A3402"/>
    <w:rsid w:val="006B34DF"/>
    <w:rsid w:val="006B5176"/>
    <w:rsid w:val="006B5F03"/>
    <w:rsid w:val="006C08CE"/>
    <w:rsid w:val="006C3EDA"/>
    <w:rsid w:val="006C5418"/>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522E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72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E36F2"/>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167E"/>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CF7509"/>
    <w:rsid w:val="00D00B99"/>
    <w:rsid w:val="00D07D7E"/>
    <w:rsid w:val="00D115A5"/>
    <w:rsid w:val="00D11BB0"/>
    <w:rsid w:val="00D152BA"/>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2893"/>
    <w:rsid w:val="00E95541"/>
    <w:rsid w:val="00E955A8"/>
    <w:rsid w:val="00EC0DE0"/>
    <w:rsid w:val="00ED1DC0"/>
    <w:rsid w:val="00ED3C51"/>
    <w:rsid w:val="00ED3CF4"/>
    <w:rsid w:val="00EE0A6C"/>
    <w:rsid w:val="00F03612"/>
    <w:rsid w:val="00F04AD2"/>
    <w:rsid w:val="00F156A4"/>
    <w:rsid w:val="00F3234F"/>
    <w:rsid w:val="00F33F87"/>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 w:type="paragraph" w:customStyle="1" w:styleId="Style15">
    <w:name w:val="Style15"/>
    <w:basedOn w:val="a"/>
    <w:uiPriority w:val="99"/>
    <w:rsid w:val="00D152BA"/>
    <w:pPr>
      <w:widowControl w:val="0"/>
      <w:adjustRightInd w:val="0"/>
      <w:spacing w:line="298" w:lineRule="exact"/>
      <w:jc w:val="center"/>
    </w:pPr>
    <w:rPr>
      <w:rFonts w:ascii="Times New Roman" w:eastAsiaTheme="minorEastAsia" w:hAnsi="Times New Roman" w:cs="Times New Roman"/>
      <w:sz w:val="24"/>
      <w:szCs w:val="24"/>
    </w:rPr>
  </w:style>
  <w:style w:type="paragraph" w:customStyle="1" w:styleId="Style17">
    <w:name w:val="Style17"/>
    <w:basedOn w:val="a"/>
    <w:uiPriority w:val="99"/>
    <w:rsid w:val="00D152BA"/>
    <w:pPr>
      <w:widowControl w:val="0"/>
      <w:adjustRightInd w:val="0"/>
      <w:spacing w:line="302" w:lineRule="exact"/>
    </w:pPr>
    <w:rPr>
      <w:rFonts w:ascii="Times New Roman" w:eastAsiaTheme="minorEastAsia" w:hAnsi="Times New Roman" w:cs="Times New Roman"/>
      <w:sz w:val="24"/>
      <w:szCs w:val="24"/>
    </w:rPr>
  </w:style>
  <w:style w:type="character" w:customStyle="1" w:styleId="FontStyle72">
    <w:name w:val="Font Style72"/>
    <w:basedOn w:val="a0"/>
    <w:uiPriority w:val="99"/>
    <w:rsid w:val="00D152BA"/>
    <w:rPr>
      <w:rFonts w:ascii="Times New Roman" w:hAnsi="Times New Roman" w:cs="Times New Roman" w:hint="default"/>
      <w:sz w:val="26"/>
      <w:szCs w:val="26"/>
    </w:rPr>
  </w:style>
  <w:style w:type="paragraph" w:customStyle="1" w:styleId="Style1">
    <w:name w:val="Style1"/>
    <w:basedOn w:val="a"/>
    <w:uiPriority w:val="99"/>
    <w:rsid w:val="00D152BA"/>
    <w:pPr>
      <w:widowControl w:val="0"/>
      <w:adjustRightInd w:val="0"/>
      <w:spacing w:line="299" w:lineRule="exact"/>
      <w:jc w:val="center"/>
    </w:pPr>
    <w:rPr>
      <w:rFonts w:ascii="Times New Roman" w:eastAsiaTheme="minorEastAsia" w:hAnsi="Times New Roman" w:cs="Times New Roman"/>
      <w:sz w:val="24"/>
      <w:szCs w:val="24"/>
    </w:rPr>
  </w:style>
  <w:style w:type="character" w:customStyle="1" w:styleId="FontStyle70">
    <w:name w:val="Font Style70"/>
    <w:basedOn w:val="a0"/>
    <w:uiPriority w:val="99"/>
    <w:rsid w:val="00D152B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1A0DB-A938-43A7-B444-B2CD4E88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4146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2020-12-29T04:02:00Z</dcterms:created>
  <dcterms:modified xsi:type="dcterms:W3CDTF">2020-12-29T04:07:00Z</dcterms:modified>
</cp:coreProperties>
</file>